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36EDB324">
      <w:pPr>
        <w:pStyle w:val="47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</w:rPr>
        <w:t>承办金砖国家职业技能竞赛“机械设计CAD”国际总决赛宣传材料</w:t>
      </w:r>
      <w:r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  <w:lang w:eastAsia="zh-CN"/>
        </w:rPr>
        <w:t>制作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yellow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52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5CDE69E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十一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0112C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承办金砖国家职业技能竞赛“机械设计CAD”国际总决赛宣传材料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制作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70DF860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二、项目名称：承办金砖国家职业技能竞赛“机械设计CAD”国际总决赛宣传材料制作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个包：承办金砖国家职业技能竞赛“机械设计CAD”国际总决赛宣传材料制作，详见项目说明。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报名方式：邮箱报名</w:t>
      </w:r>
      <w:r>
        <w:rPr>
          <w:rFonts w:hint="eastAsia" w:ascii="宋体" w:hAnsi="宋体"/>
          <w:sz w:val="24"/>
          <w:szCs w:val="24"/>
          <w:lang w:val="en-US" w:eastAsia="zh-CN"/>
        </w:rPr>
        <w:t>或现场报名</w:t>
      </w:r>
      <w:r>
        <w:rPr>
          <w:rFonts w:hint="eastAsia" w:ascii="宋体" w:hAnsi="宋体"/>
          <w:sz w:val="24"/>
          <w:szCs w:val="24"/>
        </w:rPr>
        <w:t>，报名邮箱：lcsjsxyzbb@lc.shandong.cn，将营业执照和相关资质发到邮箱，注明联系人及电话。</w:t>
      </w:r>
      <w:r>
        <w:rPr>
          <w:rFonts w:hint="eastAsia" w:ascii="宋体" w:hAnsi="宋体"/>
          <w:sz w:val="24"/>
          <w:szCs w:val="24"/>
          <w:lang w:val="en-US" w:eastAsia="zh-CN"/>
        </w:rPr>
        <w:t>现场报名需将营业执照及相关资质等材料送至学院规定地点。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2225967A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承办金砖国家职业技能竞赛“机械设计CAD”国际总决赛宣传材料制作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本项目共一个标段，主要内容为承办金砖国家职业技能竞赛“机械设计CAD”国际总决赛宣传材料制作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1、具备中华人民共和国合法营业执照及相应的经</w:t>
            </w:r>
            <w:bookmarkStart w:id="2" w:name="_GoBack"/>
            <w:bookmarkEnd w:id="2"/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</w:rPr>
              <w:t>32320元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接甲方通知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依据报价结算。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2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货到验收完成后一次性付清。（依据财政实际拨款情况，进行支付）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日-2024年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70DA0CA8">
      <w:pPr>
        <w:pStyle w:val="47"/>
        <w:ind w:firstLine="0" w:firstLineChars="0"/>
      </w:pPr>
    </w:p>
    <w:p w14:paraId="4AFA1042">
      <w:pPr>
        <w:pStyle w:val="47"/>
        <w:ind w:firstLine="0" w:firstLineChars="0"/>
      </w:pPr>
    </w:p>
    <w:p w14:paraId="554A2B5B">
      <w:pPr>
        <w:pStyle w:val="47"/>
        <w:ind w:firstLine="0" w:firstLineChars="0"/>
      </w:pPr>
    </w:p>
    <w:p w14:paraId="2531D012">
      <w:pPr>
        <w:pStyle w:val="47"/>
        <w:ind w:firstLine="0" w:firstLineChars="0"/>
      </w:pPr>
    </w:p>
    <w:p w14:paraId="43B10A74">
      <w:pPr>
        <w:pStyle w:val="47"/>
        <w:ind w:firstLine="0" w:firstLineChars="0"/>
      </w:pPr>
    </w:p>
    <w:p w14:paraId="6F910259">
      <w:pPr>
        <w:pStyle w:val="47"/>
        <w:ind w:firstLine="0" w:firstLineChars="0"/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450" w:type="dxa"/>
        <w:tblInd w:w="-1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395"/>
        <w:gridCol w:w="720"/>
        <w:gridCol w:w="660"/>
        <w:gridCol w:w="1080"/>
        <w:gridCol w:w="1110"/>
        <w:gridCol w:w="1560"/>
        <w:gridCol w:w="1215"/>
      </w:tblGrid>
      <w:tr w14:paraId="289F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0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预计单价（元）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0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预计金额（元）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A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 w14:paraId="2A07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主视觉 户外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9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10米*4.5米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5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E2DD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018C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主视觉 室内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8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11米*4.5米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7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7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782A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4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2EE1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5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签到处展板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0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300*230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7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7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B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1BB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E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拉网展板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412B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3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金砖十国国旗（吊旗）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8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1F5B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A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67A85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E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金砖十国国旗（立地旗+底座）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1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E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0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B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EDBD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6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不锈钢底坐+伸缩杆+旗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6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0AEF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8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道旗（底座+杆+旗）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E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5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2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E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19A5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A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F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54D46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写真布横幅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2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5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3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A65B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A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6966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检录处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1.5*1米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2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F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6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4997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8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1131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赛项围板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F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5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8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4547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0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5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5D7B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赛位隔板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C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0.7*0.5米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2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B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0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3D8A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9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双面展板+立架+安装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0AC9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指引牌（桁架+展板）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1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3*2米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2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3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0242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8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C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3512C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2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指引牌（立屏+展板）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E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0.8*2米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3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2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E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8803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B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E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3935D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6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室内大牌拆卸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24米*4.5米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E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0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7147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C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52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2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8.5*12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3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0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8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D520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6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C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79F7F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5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0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D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B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F336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3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C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456DC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E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工位号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2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F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D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A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D2E7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2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A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5E26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2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赛项指南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2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F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E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1D24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1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封皮封底200克铜版彩印，内容芯157克铜版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19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F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手提袋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0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35*31*8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2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E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BF27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含笔、本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B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17D7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E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21*29.7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7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E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7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3087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E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D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3D9E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3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6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B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E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7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B473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D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B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14D4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异形地贴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5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A5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E44C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2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B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92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8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37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9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7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8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AA7EBB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8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项目要求：</w:t>
      </w:r>
    </w:p>
    <w:p w14:paraId="41ED6C3F">
      <w:pPr>
        <w:pStyle w:val="258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eastAsia="宋体"/>
          <w:b/>
          <w:color w:val="000000" w:themeColor="text1"/>
          <w:sz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无</w:t>
      </w:r>
    </w:p>
    <w:p w14:paraId="5521F92A">
      <w:pPr>
        <w:pStyle w:val="258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450" w:type="dxa"/>
        <w:tblInd w:w="-1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395"/>
        <w:gridCol w:w="720"/>
        <w:gridCol w:w="660"/>
        <w:gridCol w:w="1080"/>
        <w:gridCol w:w="1110"/>
        <w:gridCol w:w="1560"/>
        <w:gridCol w:w="1215"/>
      </w:tblGrid>
      <w:tr w14:paraId="4618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B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3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预计单价（元）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预计金额（元）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B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8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 w14:paraId="366C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8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主视觉 户外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1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10米*4.5米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6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5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6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CC5B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2475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A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3FF3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4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主视觉 室内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11米*4.5米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E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BC80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6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23CD6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8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签到处展板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300*230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3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1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ED0C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470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拉网展板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230F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4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金砖十国国旗（吊旗）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1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5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7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5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BF83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2400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1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2846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1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金砖十国国旗（立地旗+底座）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F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8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5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846A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1550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9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不锈钢底坐+伸缩杆+旗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6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2248D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7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道旗（底座+杆+旗）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6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1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B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C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F378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9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0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25FC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C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写真布横幅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C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F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5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F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C60C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D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59BF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检录处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A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1.5*1米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C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4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E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5D41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6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17B1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赛项围板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8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0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6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7C01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6400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A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5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51B8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D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赛位隔板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0.7*0.5米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A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E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C442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2560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D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双面展板+立架+安装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073E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4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指引牌（桁架+展板）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0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3*2米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D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A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6ABC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720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C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D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4E6A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8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指引牌（立屏+展板）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1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0.8*2米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2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3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9167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760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F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5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4818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2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室内大牌拆卸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7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24米*4.5米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D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3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F298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540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9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58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E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C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8.5*12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D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6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FB60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1440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D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8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008E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3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6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8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3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C701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6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A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2B0F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工位号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C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96BD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F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7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32DF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F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赛项指南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3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2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6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13D2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2500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7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封皮封底200克铜版彩印，内容芯157克铜版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8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6B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4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手提袋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35*31*8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1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B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78B1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4200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0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含笔、本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8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1649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6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5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21*29.7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9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9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7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2387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540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3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C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2F37D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8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6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D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57A5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9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2F9D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3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异形地贴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F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4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6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9A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84A6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7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C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8E6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AD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D2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32320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C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5A86F92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04714FE1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包括材料、安装、运输、人工费、税费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EC9ED9"/>
    <w:multiLevelType w:val="singleLevel"/>
    <w:tmpl w:val="A2EC9ED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5241F07"/>
    <w:rsid w:val="054E7908"/>
    <w:rsid w:val="05C55124"/>
    <w:rsid w:val="07B922C3"/>
    <w:rsid w:val="08BF7794"/>
    <w:rsid w:val="09D27438"/>
    <w:rsid w:val="0BD3067C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5013FC"/>
    <w:rsid w:val="16220303"/>
    <w:rsid w:val="163B139F"/>
    <w:rsid w:val="17F24A8A"/>
    <w:rsid w:val="19094ED0"/>
    <w:rsid w:val="194417AD"/>
    <w:rsid w:val="1A7254D6"/>
    <w:rsid w:val="1BE804D9"/>
    <w:rsid w:val="1BF852E7"/>
    <w:rsid w:val="1C790F1A"/>
    <w:rsid w:val="1CEB698E"/>
    <w:rsid w:val="1D3E6C48"/>
    <w:rsid w:val="1D4B2E52"/>
    <w:rsid w:val="1DA43F7B"/>
    <w:rsid w:val="1FC655DB"/>
    <w:rsid w:val="23994FAD"/>
    <w:rsid w:val="242B68C9"/>
    <w:rsid w:val="249917FE"/>
    <w:rsid w:val="262B023E"/>
    <w:rsid w:val="26445799"/>
    <w:rsid w:val="27FC632B"/>
    <w:rsid w:val="296D55D3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5BE2E72"/>
    <w:rsid w:val="3827318B"/>
    <w:rsid w:val="38433B03"/>
    <w:rsid w:val="39CE5556"/>
    <w:rsid w:val="3B7B043E"/>
    <w:rsid w:val="3CE85EE2"/>
    <w:rsid w:val="3F1E091D"/>
    <w:rsid w:val="4033731A"/>
    <w:rsid w:val="40500A84"/>
    <w:rsid w:val="432936DD"/>
    <w:rsid w:val="44F66730"/>
    <w:rsid w:val="45684CF6"/>
    <w:rsid w:val="457B6077"/>
    <w:rsid w:val="46633F07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30807FB"/>
    <w:rsid w:val="569F1AF1"/>
    <w:rsid w:val="59514339"/>
    <w:rsid w:val="5AB30825"/>
    <w:rsid w:val="5B092532"/>
    <w:rsid w:val="5C9A78E6"/>
    <w:rsid w:val="5D7A3273"/>
    <w:rsid w:val="5F6B569F"/>
    <w:rsid w:val="616C351D"/>
    <w:rsid w:val="616E7593"/>
    <w:rsid w:val="61B74AB7"/>
    <w:rsid w:val="63BE468E"/>
    <w:rsid w:val="66980920"/>
    <w:rsid w:val="67F47638"/>
    <w:rsid w:val="68A5389A"/>
    <w:rsid w:val="69BF4B84"/>
    <w:rsid w:val="6D6F4477"/>
    <w:rsid w:val="6E520E33"/>
    <w:rsid w:val="70B2141E"/>
    <w:rsid w:val="72D7706D"/>
    <w:rsid w:val="72EB0EF9"/>
    <w:rsid w:val="73CB7283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qFormat/>
    <w:uiPriority w:val="99"/>
    <w:rPr>
      <w:kern w:val="0"/>
      <w:sz w:val="20"/>
    </w:rPr>
  </w:style>
  <w:style w:type="paragraph" w:styleId="19">
    <w:name w:val="Body Text 3"/>
    <w:basedOn w:val="1"/>
    <w:link w:val="71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qFormat/>
    <w:uiPriority w:val="99"/>
    <w:rPr>
      <w:kern w:val="0"/>
      <w:sz w:val="2"/>
    </w:rPr>
  </w:style>
  <w:style w:type="paragraph" w:styleId="31">
    <w:name w:val="footer"/>
    <w:basedOn w:val="1"/>
    <w:link w:val="90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qFormat/>
    <w:locked/>
    <w:uiPriority w:val="99"/>
    <w:rPr>
      <w:sz w:val="18"/>
    </w:rPr>
  </w:style>
  <w:style w:type="character" w:customStyle="1" w:styleId="90">
    <w:name w:val="页脚 Char"/>
    <w:link w:val="31"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qFormat/>
    <w:uiPriority w:val="99"/>
    <w:pPr>
      <w:ind w:firstLine="420" w:firstLineChars="200"/>
    </w:pPr>
  </w:style>
  <w:style w:type="paragraph" w:customStyle="1" w:styleId="93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qFormat/>
    <w:uiPriority w:val="99"/>
    <w:rPr>
      <w:szCs w:val="24"/>
    </w:rPr>
  </w:style>
  <w:style w:type="paragraph" w:customStyle="1" w:styleId="96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qFormat/>
    <w:uiPriority w:val="99"/>
    <w:rPr>
      <w:szCs w:val="24"/>
    </w:rPr>
  </w:style>
  <w:style w:type="paragraph" w:customStyle="1" w:styleId="98">
    <w:name w:val="Char Char Char Char Char Char2 Char"/>
    <w:basedOn w:val="1"/>
    <w:qFormat/>
    <w:uiPriority w:val="99"/>
    <w:rPr>
      <w:szCs w:val="24"/>
    </w:rPr>
  </w:style>
  <w:style w:type="paragraph" w:customStyle="1" w:styleId="99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qFormat/>
    <w:uiPriority w:val="99"/>
    <w:rPr>
      <w:rFonts w:eastAsia="楷体_GB2312"/>
    </w:rPr>
  </w:style>
  <w:style w:type="paragraph" w:customStyle="1" w:styleId="10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qFormat/>
    <w:locked/>
    <w:uiPriority w:val="99"/>
  </w:style>
  <w:style w:type="paragraph" w:customStyle="1" w:styleId="106">
    <w:name w:val="GTA正文-1"/>
    <w:basedOn w:val="1"/>
    <w:link w:val="105"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qFormat/>
    <w:uiPriority w:val="99"/>
    <w:rPr>
      <w:b/>
      <w:sz w:val="24"/>
    </w:rPr>
  </w:style>
  <w:style w:type="character" w:customStyle="1" w:styleId="109">
    <w:name w:val="headline-content"/>
    <w:qFormat/>
    <w:uiPriority w:val="99"/>
  </w:style>
  <w:style w:type="character" w:customStyle="1" w:styleId="110">
    <w:name w:val="SC286822"/>
    <w:qFormat/>
    <w:uiPriority w:val="99"/>
    <w:rPr>
      <w:color w:val="000000"/>
    </w:rPr>
  </w:style>
  <w:style w:type="character" w:customStyle="1" w:styleId="111">
    <w:name w:val="设计正文 Char Char"/>
    <w:link w:val="112"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qFormat/>
    <w:uiPriority w:val="99"/>
    <w:rPr>
      <w:sz w:val="24"/>
    </w:rPr>
  </w:style>
  <w:style w:type="character" w:customStyle="1" w:styleId="114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qFormat/>
    <w:uiPriority w:val="99"/>
  </w:style>
  <w:style w:type="character" w:customStyle="1" w:styleId="119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qFormat/>
    <w:uiPriority w:val="99"/>
  </w:style>
  <w:style w:type="character" w:customStyle="1" w:styleId="121">
    <w:name w:val="文档结构图 Char Char"/>
    <w:link w:val="122"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qFormat/>
    <w:uiPriority w:val="99"/>
    <w:rPr>
      <w:sz w:val="16"/>
    </w:rPr>
  </w:style>
  <w:style w:type="character" w:customStyle="1" w:styleId="124">
    <w:name w:val="正文缩进 Char"/>
    <w:link w:val="9"/>
    <w:qFormat/>
    <w:locked/>
    <w:uiPriority w:val="99"/>
    <w:rPr>
      <w:sz w:val="20"/>
    </w:rPr>
  </w:style>
  <w:style w:type="character" w:customStyle="1" w:styleId="125">
    <w:name w:val="标题 Char"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qFormat/>
    <w:uiPriority w:val="99"/>
    <w:rPr>
      <w:b/>
      <w:sz w:val="32"/>
    </w:rPr>
  </w:style>
  <w:style w:type="character" w:customStyle="1" w:styleId="127">
    <w:name w:val="apple-converted-space"/>
    <w:qFormat/>
    <w:uiPriority w:val="99"/>
  </w:style>
  <w:style w:type="character" w:customStyle="1" w:styleId="128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qFormat/>
    <w:uiPriority w:val="99"/>
    <w:rPr>
      <w:color w:val="999999"/>
    </w:rPr>
  </w:style>
  <w:style w:type="character" w:customStyle="1" w:styleId="133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qFormat/>
    <w:uiPriority w:val="99"/>
    <w:rPr>
      <w:sz w:val="21"/>
    </w:rPr>
  </w:style>
  <w:style w:type="character" w:customStyle="1" w:styleId="136">
    <w:name w:val="正文文本 3 Char"/>
    <w:qFormat/>
    <w:locked/>
    <w:uiPriority w:val="99"/>
    <w:rPr>
      <w:sz w:val="16"/>
    </w:rPr>
  </w:style>
  <w:style w:type="character" w:customStyle="1" w:styleId="137">
    <w:name w:val="文档结构图 Char"/>
    <w:qFormat/>
    <w:uiPriority w:val="99"/>
    <w:rPr>
      <w:shd w:val="clear" w:color="auto" w:fill="000080"/>
    </w:rPr>
  </w:style>
  <w:style w:type="character" w:customStyle="1" w:styleId="138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qFormat/>
    <w:uiPriority w:val="99"/>
    <w:rPr>
      <w:color w:val="000000"/>
      <w:sz w:val="16"/>
    </w:rPr>
  </w:style>
  <w:style w:type="character" w:customStyle="1" w:styleId="147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qFormat/>
    <w:uiPriority w:val="99"/>
    <w:rPr>
      <w:rFonts w:ascii="宋体" w:eastAsia="宋体"/>
      <w:sz w:val="24"/>
    </w:rPr>
  </w:style>
  <w:style w:type="character" w:customStyle="1" w:styleId="151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qFormat/>
    <w:uiPriority w:val="99"/>
  </w:style>
  <w:style w:type="paragraph" w:customStyle="1" w:styleId="154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7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qFormat/>
    <w:uiPriority w:val="99"/>
    <w:rPr>
      <w:color w:val="auto"/>
    </w:rPr>
  </w:style>
  <w:style w:type="paragraph" w:customStyle="1" w:styleId="194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qFormat/>
    <w:uiPriority w:val="99"/>
  </w:style>
  <w:style w:type="paragraph" w:customStyle="1" w:styleId="285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0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1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2713</Words>
  <Characters>3171</Characters>
  <Lines>17</Lines>
  <Paragraphs>4</Paragraphs>
  <TotalTime>3</TotalTime>
  <ScaleCrop>false</ScaleCrop>
  <LinksUpToDate>false</LinksUpToDate>
  <CharactersWithSpaces>3249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2024-08-28T08:55:00Z</cp:lastPrinted>
  <dcterms:modified xsi:type="dcterms:W3CDTF">2024-11-25T13:43:59Z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A1C052D1FB014BDCAF683E286B05C4EE_13</vt:lpwstr>
  </property>
</Properties>
</file>