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156" w:type="pct"/>
        <w:tblInd w:w="-4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966"/>
        <w:gridCol w:w="1086"/>
        <w:gridCol w:w="893"/>
        <w:gridCol w:w="863"/>
        <w:gridCol w:w="1039"/>
        <w:gridCol w:w="831"/>
        <w:gridCol w:w="1086"/>
        <w:gridCol w:w="730"/>
        <w:gridCol w:w="3657"/>
        <w:gridCol w:w="1636"/>
        <w:gridCol w:w="11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2023年聊城市技师学院公开引进高层次人才岗位汇总表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3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人才引进单位</w:t>
            </w:r>
          </w:p>
        </w:tc>
        <w:tc>
          <w:tcPr>
            <w:tcW w:w="3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2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岗位性质</w:t>
            </w:r>
          </w:p>
        </w:tc>
        <w:tc>
          <w:tcPr>
            <w:tcW w:w="3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引进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8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学历、学位及专业要求</w:t>
            </w:r>
          </w:p>
        </w:tc>
        <w:tc>
          <w:tcPr>
            <w:tcW w:w="5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其它条件要求</w:t>
            </w:r>
          </w:p>
        </w:tc>
        <w:tc>
          <w:tcPr>
            <w:tcW w:w="40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5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聊城市人民政府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聊城市技师学院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教育类（G）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高层次人才岗位1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机械工程类专业、电气工程类专业、控制科学与工程类专业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聊城市人民政府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聊城市技师学院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教育类（G）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高层次人才岗位2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计算机科学与技术类专业、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none"/>
                <w:lang w:val="en-US" w:eastAsia="zh-CN" w:bidi="ar"/>
              </w:rPr>
              <w:t>软件工程专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"/>
              </w:rPr>
              <w:t>业、计算机技术专业、人工智能专业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聊城市人民政府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聊城市技师学院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教育类（G）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高层次人才岗位3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土木工程类专业、建筑学类专业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聊城市人民政府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聊城市技师学院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教育类（G）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高层次人才岗位4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马克思主义理论类专业、中国史类专业、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none"/>
                <w:lang w:val="en-US" w:eastAsia="zh-CN" w:bidi="ar"/>
              </w:rPr>
              <w:t>工商管理类专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"/>
              </w:rPr>
              <w:t>业、中国语言文学类专业、心理学类专业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0ZmVhMjUwNjFiZWRlOWJjOWUwYWIzYTc5ODc0MWYifQ=="/>
  </w:docVars>
  <w:rsids>
    <w:rsidRoot w:val="72B457F3"/>
    <w:rsid w:val="72B4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31"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2023-02-13T08:29:00Z</dcterms:created>
  <dc:creator>听夏</dc:creator>
  <cp:lastModifiedBy>听夏</cp:lastModifiedBy>
  <dcterms:modified xsi:type="dcterms:W3CDTF">2023-02-13T08:29:17Z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10C6567BDB57405DBFDF4C7D3307E5BE</vt:lpwstr>
  </property>
</Properties>
</file>